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7931" w14:textId="1A9C32A4" w:rsidR="001D57DB" w:rsidRPr="001D57DB" w:rsidRDefault="001D57DB" w:rsidP="001D57DB">
      <w:pPr>
        <w:pStyle w:val="Default"/>
      </w:pPr>
      <w:r w:rsidRPr="001D57DB">
        <w:t xml:space="preserve"> </w:t>
      </w:r>
      <w:r w:rsidRPr="001D57DB">
        <w:rPr>
          <w:b/>
          <w:bCs/>
        </w:rPr>
        <w:t xml:space="preserve">Exhibit 22—Notification Entity Erroneously Dissolved and SSA Reply </w:t>
      </w:r>
      <w:r w:rsidR="00176F40">
        <w:rPr>
          <w:b/>
          <w:bCs/>
        </w:rPr>
        <w:t>(electronic signature acknowledgment version, for States that opt into electronic signing process)</w:t>
      </w:r>
    </w:p>
    <w:p w14:paraId="0CFE639F" w14:textId="77777777" w:rsidR="001D57DB" w:rsidRPr="001D57DB" w:rsidRDefault="001D57DB" w:rsidP="001D57DB">
      <w:pPr>
        <w:pStyle w:val="Default"/>
      </w:pPr>
    </w:p>
    <w:p w14:paraId="71CF19AD" w14:textId="0AEBA3FA" w:rsidR="001D57DB" w:rsidRPr="001D57DB" w:rsidRDefault="001D57DB" w:rsidP="001D57DB">
      <w:pPr>
        <w:pStyle w:val="Default"/>
      </w:pPr>
      <w:r w:rsidRPr="001D57DB">
        <w:t xml:space="preserve">The notification establishes that the State discovered that a prior dissolution action was erroneous because an entity had not legally dissolved. Evidence establishing that the dissolution was erroneous must accompany this notice. </w:t>
      </w:r>
    </w:p>
    <w:p w14:paraId="459EE028" w14:textId="77777777" w:rsidR="001D57DB" w:rsidRPr="001D57DB" w:rsidRDefault="001D57DB" w:rsidP="001D57DB">
      <w:pPr>
        <w:pStyle w:val="Default"/>
        <w:rPr>
          <w:b/>
          <w:bCs/>
        </w:rPr>
      </w:pPr>
    </w:p>
    <w:p w14:paraId="3118E9A0" w14:textId="16408E46" w:rsidR="001D57DB" w:rsidRPr="001D57DB" w:rsidRDefault="001D57DB" w:rsidP="001D57DB">
      <w:pPr>
        <w:pStyle w:val="Default"/>
      </w:pPr>
      <w:r w:rsidRPr="001D57DB">
        <w:rPr>
          <w:b/>
          <w:bCs/>
        </w:rPr>
        <w:t xml:space="preserve">NOTICE REQUESTING INVALIDATION OF DISSOLUTION NO. _____ </w:t>
      </w:r>
    </w:p>
    <w:p w14:paraId="5221662F" w14:textId="77777777" w:rsidR="001D57DB" w:rsidRPr="001D57DB" w:rsidRDefault="001D57DB" w:rsidP="001D57DB">
      <w:pPr>
        <w:pStyle w:val="Default"/>
      </w:pPr>
    </w:p>
    <w:p w14:paraId="23C768A2" w14:textId="7B0A385E" w:rsidR="001D57DB" w:rsidRPr="001D57DB" w:rsidRDefault="001D57DB" w:rsidP="001D57DB">
      <w:pPr>
        <w:pStyle w:val="Default"/>
      </w:pPr>
      <w:r w:rsidRPr="001D57DB">
        <w:t>The State of _____, acting through its authorized representative(s), asserts that Dissolution No. ___, dated ___________, was requested in error. That dissolution affected the State’s Agreement of (date of original Agreement) with the Commissioner of Social Security with respect to coverage groups of the employees of the (</w:t>
      </w:r>
      <w:r w:rsidRPr="001D57DB">
        <w:rPr>
          <w:i/>
          <w:iCs/>
        </w:rPr>
        <w:t>political subdivisions</w:t>
      </w:r>
      <w:r w:rsidRPr="001D57DB">
        <w:t xml:space="preserve">) listed below, which were included under the Agreement by the Modification(s) shown. </w:t>
      </w:r>
    </w:p>
    <w:p w14:paraId="1078A404" w14:textId="77777777" w:rsidR="001D57DB" w:rsidRPr="001D57DB" w:rsidRDefault="001D57DB" w:rsidP="001D57DB">
      <w:pPr>
        <w:pStyle w:val="Default"/>
      </w:pPr>
    </w:p>
    <w:p w14:paraId="44089CE9" w14:textId="19786266" w:rsidR="001D57DB" w:rsidRPr="001D57DB" w:rsidRDefault="001D57DB" w:rsidP="001D57DB">
      <w:pPr>
        <w:pStyle w:val="Default"/>
      </w:pPr>
      <w:r w:rsidRPr="001D57DB">
        <w:t>In Dissolution No. ___, the State asserted that appropriate legal action dissolved the political subdivision(s). Based on subsequent evidence (attached), the State requests that Dissolution No. ___ be invalidated, as it was requested in error, and that coverage be restored as if the dissolution action had not taken place.</w:t>
      </w:r>
    </w:p>
    <w:p w14:paraId="23BD4D33" w14:textId="77777777" w:rsidR="001D57DB" w:rsidRPr="001D57DB" w:rsidRDefault="001D57DB" w:rsidP="001D57DB">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73"/>
        <w:gridCol w:w="2173"/>
        <w:gridCol w:w="2173"/>
        <w:gridCol w:w="2173"/>
      </w:tblGrid>
      <w:tr w:rsidR="001D57DB" w:rsidRPr="001D57DB" w14:paraId="41A95C12" w14:textId="77777777">
        <w:trPr>
          <w:trHeight w:val="385"/>
        </w:trPr>
        <w:tc>
          <w:tcPr>
            <w:tcW w:w="2173" w:type="dxa"/>
            <w:tcBorders>
              <w:top w:val="none" w:sz="6" w:space="0" w:color="auto"/>
              <w:bottom w:val="none" w:sz="6" w:space="0" w:color="auto"/>
              <w:right w:val="none" w:sz="6" w:space="0" w:color="auto"/>
            </w:tcBorders>
          </w:tcPr>
          <w:p w14:paraId="3405C999" w14:textId="3D62895C" w:rsidR="001D57DB" w:rsidRPr="001D57DB" w:rsidRDefault="001D57DB">
            <w:pPr>
              <w:pStyle w:val="Default"/>
            </w:pPr>
            <w:r w:rsidRPr="001D57DB">
              <w:t xml:space="preserve">Name of Erroneously Dissolved Political Subdivision </w:t>
            </w:r>
          </w:p>
        </w:tc>
        <w:tc>
          <w:tcPr>
            <w:tcW w:w="2173" w:type="dxa"/>
            <w:tcBorders>
              <w:top w:val="none" w:sz="6" w:space="0" w:color="auto"/>
              <w:left w:val="none" w:sz="6" w:space="0" w:color="auto"/>
              <w:bottom w:val="none" w:sz="6" w:space="0" w:color="auto"/>
              <w:right w:val="none" w:sz="6" w:space="0" w:color="auto"/>
            </w:tcBorders>
          </w:tcPr>
          <w:p w14:paraId="5D13B5A4" w14:textId="77777777" w:rsidR="001D57DB" w:rsidRPr="001D57DB" w:rsidRDefault="001D57DB">
            <w:pPr>
              <w:pStyle w:val="Default"/>
            </w:pPr>
            <w:r w:rsidRPr="001D57DB">
              <w:t xml:space="preserve">Employer’s EIN </w:t>
            </w:r>
          </w:p>
        </w:tc>
        <w:tc>
          <w:tcPr>
            <w:tcW w:w="2173" w:type="dxa"/>
            <w:tcBorders>
              <w:top w:val="none" w:sz="6" w:space="0" w:color="auto"/>
              <w:left w:val="none" w:sz="6" w:space="0" w:color="auto"/>
              <w:bottom w:val="none" w:sz="6" w:space="0" w:color="auto"/>
              <w:right w:val="none" w:sz="6" w:space="0" w:color="auto"/>
            </w:tcBorders>
          </w:tcPr>
          <w:p w14:paraId="582C4438" w14:textId="77777777" w:rsidR="001D57DB" w:rsidRPr="001D57DB" w:rsidRDefault="001D57DB">
            <w:pPr>
              <w:pStyle w:val="Default"/>
            </w:pPr>
            <w:r w:rsidRPr="001D57DB">
              <w:t xml:space="preserve">Modification Number </w:t>
            </w:r>
          </w:p>
        </w:tc>
        <w:tc>
          <w:tcPr>
            <w:tcW w:w="2173" w:type="dxa"/>
            <w:tcBorders>
              <w:top w:val="none" w:sz="6" w:space="0" w:color="auto"/>
              <w:left w:val="none" w:sz="6" w:space="0" w:color="auto"/>
              <w:bottom w:val="none" w:sz="6" w:space="0" w:color="auto"/>
            </w:tcBorders>
          </w:tcPr>
          <w:p w14:paraId="35420AE9" w14:textId="77777777" w:rsidR="001D57DB" w:rsidRPr="001D57DB" w:rsidRDefault="001D57DB">
            <w:pPr>
              <w:pStyle w:val="Default"/>
            </w:pPr>
            <w:r w:rsidRPr="001D57DB">
              <w:t xml:space="preserve">Basis for Invalidating Dissolution and Restoring Coverage </w:t>
            </w:r>
          </w:p>
        </w:tc>
      </w:tr>
      <w:tr w:rsidR="001D57DB" w:rsidRPr="001D57DB" w14:paraId="633771C0" w14:textId="77777777">
        <w:trPr>
          <w:trHeight w:val="109"/>
        </w:trPr>
        <w:tc>
          <w:tcPr>
            <w:tcW w:w="2173" w:type="dxa"/>
            <w:tcBorders>
              <w:top w:val="none" w:sz="6" w:space="0" w:color="auto"/>
              <w:bottom w:val="none" w:sz="6" w:space="0" w:color="auto"/>
              <w:right w:val="none" w:sz="6" w:space="0" w:color="auto"/>
            </w:tcBorders>
          </w:tcPr>
          <w:p w14:paraId="193DE6B3" w14:textId="77777777" w:rsidR="001D57DB" w:rsidRPr="001D57DB" w:rsidRDefault="001D57DB">
            <w:pPr>
              <w:pStyle w:val="Default"/>
            </w:pPr>
            <w:r w:rsidRPr="001D57DB">
              <w:t xml:space="preserve">Hunt School District </w:t>
            </w:r>
          </w:p>
        </w:tc>
        <w:tc>
          <w:tcPr>
            <w:tcW w:w="2173" w:type="dxa"/>
            <w:tcBorders>
              <w:top w:val="none" w:sz="6" w:space="0" w:color="auto"/>
              <w:left w:val="none" w:sz="6" w:space="0" w:color="auto"/>
              <w:bottom w:val="none" w:sz="6" w:space="0" w:color="auto"/>
              <w:right w:val="none" w:sz="6" w:space="0" w:color="auto"/>
            </w:tcBorders>
          </w:tcPr>
          <w:p w14:paraId="76C8116E" w14:textId="77777777" w:rsidR="001D57DB" w:rsidRPr="001D57DB" w:rsidRDefault="001D57DB">
            <w:pPr>
              <w:pStyle w:val="Default"/>
            </w:pPr>
            <w:r w:rsidRPr="001D57DB">
              <w:t xml:space="preserve">00000000 </w:t>
            </w:r>
          </w:p>
        </w:tc>
        <w:tc>
          <w:tcPr>
            <w:tcW w:w="2173" w:type="dxa"/>
            <w:tcBorders>
              <w:top w:val="none" w:sz="6" w:space="0" w:color="auto"/>
              <w:left w:val="none" w:sz="6" w:space="0" w:color="auto"/>
              <w:bottom w:val="none" w:sz="6" w:space="0" w:color="auto"/>
              <w:right w:val="none" w:sz="6" w:space="0" w:color="auto"/>
            </w:tcBorders>
          </w:tcPr>
          <w:p w14:paraId="74518FD6" w14:textId="77777777" w:rsidR="001D57DB" w:rsidRPr="001D57DB" w:rsidRDefault="001D57DB">
            <w:pPr>
              <w:pStyle w:val="Default"/>
            </w:pPr>
            <w:r w:rsidRPr="001D57DB">
              <w:t xml:space="preserve">100 </w:t>
            </w:r>
          </w:p>
        </w:tc>
        <w:tc>
          <w:tcPr>
            <w:tcW w:w="2173" w:type="dxa"/>
            <w:tcBorders>
              <w:top w:val="none" w:sz="6" w:space="0" w:color="auto"/>
              <w:left w:val="none" w:sz="6" w:space="0" w:color="auto"/>
              <w:bottom w:val="none" w:sz="6" w:space="0" w:color="auto"/>
            </w:tcBorders>
          </w:tcPr>
          <w:p w14:paraId="7807EDB7" w14:textId="77777777" w:rsidR="001D57DB" w:rsidRPr="001D57DB" w:rsidRDefault="001D57DB">
            <w:pPr>
              <w:pStyle w:val="Default"/>
            </w:pPr>
            <w:r w:rsidRPr="001D57DB">
              <w:t xml:space="preserve">See attached* </w:t>
            </w:r>
          </w:p>
        </w:tc>
      </w:tr>
    </w:tbl>
    <w:p w14:paraId="13825771" w14:textId="77777777" w:rsidR="001D57DB" w:rsidRPr="001D57DB" w:rsidRDefault="001D57DB" w:rsidP="001D57DB">
      <w:pPr>
        <w:pStyle w:val="Default"/>
      </w:pPr>
    </w:p>
    <w:p w14:paraId="0A614C11" w14:textId="77777777" w:rsidR="001D57DB" w:rsidRPr="001D57DB" w:rsidRDefault="001D57DB" w:rsidP="001D57DB">
      <w:pPr>
        <w:pStyle w:val="Default"/>
        <w:ind w:left="1440" w:firstLine="720"/>
      </w:pPr>
      <w:r w:rsidRPr="001D57DB">
        <w:t xml:space="preserve"> By: __________________________________________ </w:t>
      </w:r>
    </w:p>
    <w:p w14:paraId="51AFDCA0" w14:textId="77777777" w:rsidR="001D57DB" w:rsidRPr="001D57DB" w:rsidRDefault="001D57DB" w:rsidP="001D57DB">
      <w:pPr>
        <w:pStyle w:val="Default"/>
        <w:ind w:left="1440" w:firstLine="720"/>
      </w:pPr>
      <w:r w:rsidRPr="001D57DB">
        <w:t xml:space="preserve">(Name/Title of Designated State Official) </w:t>
      </w:r>
    </w:p>
    <w:p w14:paraId="2D7097B3" w14:textId="77777777" w:rsidR="001D57DB" w:rsidRPr="001D57DB" w:rsidRDefault="001D57DB" w:rsidP="001D57DB">
      <w:pPr>
        <w:pStyle w:val="Default"/>
        <w:ind w:left="1440" w:firstLine="720"/>
      </w:pPr>
    </w:p>
    <w:p w14:paraId="62AFC5A8" w14:textId="77777777" w:rsidR="001D57DB" w:rsidRPr="001D57DB" w:rsidRDefault="001D57DB" w:rsidP="001D57DB">
      <w:pPr>
        <w:pStyle w:val="Default"/>
        <w:ind w:left="1440" w:firstLine="720"/>
      </w:pPr>
      <w:r w:rsidRPr="001D57DB">
        <w:t xml:space="preserve">Date: __________________________________________ </w:t>
      </w:r>
    </w:p>
    <w:p w14:paraId="4D5B2DDD" w14:textId="77777777" w:rsidR="001D57DB" w:rsidRPr="001D57DB" w:rsidRDefault="001D57DB" w:rsidP="001D57DB">
      <w:pPr>
        <w:pStyle w:val="Default"/>
      </w:pPr>
    </w:p>
    <w:p w14:paraId="0C3EAE94" w14:textId="537868D9" w:rsidR="001D57DB" w:rsidRPr="001D57DB" w:rsidRDefault="001D57DB" w:rsidP="001D57DB">
      <w:pPr>
        <w:pStyle w:val="Default"/>
      </w:pPr>
      <w:r w:rsidRPr="001D57DB">
        <w:t xml:space="preserve">The Social Security Administration has reviewed the evidence </w:t>
      </w:r>
      <w:proofErr w:type="gramStart"/>
      <w:r w:rsidRPr="001D57DB">
        <w:t>submitted, and</w:t>
      </w:r>
      <w:proofErr w:type="gramEnd"/>
      <w:r w:rsidRPr="001D57DB">
        <w:t xml:space="preserve"> agrees that (</w:t>
      </w:r>
      <w:r w:rsidRPr="001D57DB">
        <w:rPr>
          <w:i/>
          <w:iCs/>
        </w:rPr>
        <w:t>political subdivisions</w:t>
      </w:r>
      <w:r w:rsidRPr="001D57DB">
        <w:t xml:space="preserve">) did not legally dissolve. Accordingly, Dissolution No. ___ constituted an invalid action under law. Coverage is restored in the Agreement as if the dissolution action had not taken place. </w:t>
      </w:r>
    </w:p>
    <w:p w14:paraId="6EAE9B6C" w14:textId="77777777" w:rsidR="001D57DB" w:rsidRPr="001D57DB" w:rsidRDefault="001D57DB" w:rsidP="001D57DB">
      <w:pPr>
        <w:pStyle w:val="Default"/>
      </w:pPr>
    </w:p>
    <w:p w14:paraId="5BBC107F" w14:textId="3DFB59BE" w:rsidR="001D57DB" w:rsidRPr="001D57DB" w:rsidRDefault="001D57DB" w:rsidP="001D57DB">
      <w:pPr>
        <w:pStyle w:val="Default"/>
        <w:ind w:left="2160"/>
      </w:pPr>
      <w:r w:rsidRPr="001D57DB">
        <w:t xml:space="preserve">By: __________________________________________ </w:t>
      </w:r>
    </w:p>
    <w:p w14:paraId="58D1C2D5" w14:textId="77777777" w:rsidR="001D57DB" w:rsidRPr="001D57DB" w:rsidRDefault="001D57DB" w:rsidP="001D57DB">
      <w:pPr>
        <w:pStyle w:val="Default"/>
        <w:ind w:left="2160"/>
      </w:pPr>
      <w:r w:rsidRPr="001D57DB">
        <w:t xml:space="preserve">Regional Commissioner (or authorized delegate) </w:t>
      </w:r>
    </w:p>
    <w:p w14:paraId="1D3EA6CA" w14:textId="022C5866" w:rsidR="001D57DB" w:rsidRDefault="001D57DB" w:rsidP="001D57DB">
      <w:pPr>
        <w:ind w:left="2160"/>
        <w:rPr>
          <w:rFonts w:ascii="Times New Roman" w:hAnsi="Times New Roman" w:cs="Times New Roman"/>
        </w:rPr>
      </w:pPr>
      <w:r w:rsidRPr="001D57DB">
        <w:rPr>
          <w:rFonts w:ascii="Times New Roman" w:hAnsi="Times New Roman" w:cs="Times New Roman"/>
        </w:rPr>
        <w:t>Social Security Administration</w:t>
      </w:r>
    </w:p>
    <w:p w14:paraId="451DF53B" w14:textId="77777777" w:rsidR="00176F40" w:rsidRPr="00B63E61" w:rsidRDefault="00176F40" w:rsidP="00176F40">
      <w:pPr>
        <w:pStyle w:val="Default"/>
      </w:pPr>
      <w:r w:rsidRPr="00585D17">
        <w:rPr>
          <w:b/>
          <w:bCs/>
          <w:u w:val="single"/>
        </w:rPr>
        <w:t>Electronic Signature Acknowledgement:</w:t>
      </w:r>
      <w:r>
        <w:t xml:space="preserve"> The signatories may sign this document electronically by using an approved electronic signature process.  By signing this document electronically, the signatories agree that the signature they provide has the same meaning, validity and effect as a handwritten signature. </w:t>
      </w:r>
    </w:p>
    <w:p w14:paraId="02FEE065" w14:textId="77777777" w:rsidR="00276E37" w:rsidRPr="001D57DB" w:rsidRDefault="00276E37" w:rsidP="00276E37">
      <w:pPr>
        <w:rPr>
          <w:rFonts w:ascii="Times New Roman" w:hAnsi="Times New Roman" w:cs="Times New Roman"/>
        </w:rPr>
      </w:pPr>
    </w:p>
    <w:sectPr w:rsidR="00276E37" w:rsidRPr="001D5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DB"/>
    <w:rsid w:val="00176F40"/>
    <w:rsid w:val="00191A02"/>
    <w:rsid w:val="001D57DB"/>
    <w:rsid w:val="00276E37"/>
    <w:rsid w:val="00315986"/>
    <w:rsid w:val="003F5DF6"/>
    <w:rsid w:val="0053141F"/>
    <w:rsid w:val="005403DB"/>
    <w:rsid w:val="00826D2D"/>
    <w:rsid w:val="00AB0C46"/>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DD74"/>
  <w15:chartTrackingRefBased/>
  <w15:docId w15:val="{5A0C5475-6C71-44BB-A14E-253576CE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7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57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57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57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57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5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7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D57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D57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57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57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5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7DB"/>
    <w:rPr>
      <w:rFonts w:eastAsiaTheme="majorEastAsia" w:cstheme="majorBidi"/>
      <w:color w:val="272727" w:themeColor="text1" w:themeTint="D8"/>
    </w:rPr>
  </w:style>
  <w:style w:type="paragraph" w:styleId="Title">
    <w:name w:val="Title"/>
    <w:basedOn w:val="Normal"/>
    <w:next w:val="Normal"/>
    <w:link w:val="TitleChar"/>
    <w:uiPriority w:val="10"/>
    <w:qFormat/>
    <w:rsid w:val="001D5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7DB"/>
    <w:pPr>
      <w:spacing w:before="160"/>
      <w:jc w:val="center"/>
    </w:pPr>
    <w:rPr>
      <w:i/>
      <w:iCs/>
      <w:color w:val="404040" w:themeColor="text1" w:themeTint="BF"/>
    </w:rPr>
  </w:style>
  <w:style w:type="character" w:customStyle="1" w:styleId="QuoteChar">
    <w:name w:val="Quote Char"/>
    <w:basedOn w:val="DefaultParagraphFont"/>
    <w:link w:val="Quote"/>
    <w:uiPriority w:val="29"/>
    <w:rsid w:val="001D57DB"/>
    <w:rPr>
      <w:i/>
      <w:iCs/>
      <w:color w:val="404040" w:themeColor="text1" w:themeTint="BF"/>
    </w:rPr>
  </w:style>
  <w:style w:type="paragraph" w:styleId="ListParagraph">
    <w:name w:val="List Paragraph"/>
    <w:basedOn w:val="Normal"/>
    <w:uiPriority w:val="34"/>
    <w:qFormat/>
    <w:rsid w:val="001D57DB"/>
    <w:pPr>
      <w:ind w:left="720"/>
      <w:contextualSpacing/>
    </w:pPr>
  </w:style>
  <w:style w:type="character" w:styleId="IntenseEmphasis">
    <w:name w:val="Intense Emphasis"/>
    <w:basedOn w:val="DefaultParagraphFont"/>
    <w:uiPriority w:val="21"/>
    <w:qFormat/>
    <w:rsid w:val="001D57DB"/>
    <w:rPr>
      <w:i/>
      <w:iCs/>
      <w:color w:val="2E74B5" w:themeColor="accent1" w:themeShade="BF"/>
    </w:rPr>
  </w:style>
  <w:style w:type="paragraph" w:styleId="IntenseQuote">
    <w:name w:val="Intense Quote"/>
    <w:basedOn w:val="Normal"/>
    <w:next w:val="Normal"/>
    <w:link w:val="IntenseQuoteChar"/>
    <w:uiPriority w:val="30"/>
    <w:qFormat/>
    <w:rsid w:val="001D57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57DB"/>
    <w:rPr>
      <w:i/>
      <w:iCs/>
      <w:color w:val="2E74B5" w:themeColor="accent1" w:themeShade="BF"/>
    </w:rPr>
  </w:style>
  <w:style w:type="character" w:styleId="IntenseReference">
    <w:name w:val="Intense Reference"/>
    <w:basedOn w:val="DefaultParagraphFont"/>
    <w:uiPriority w:val="32"/>
    <w:qFormat/>
    <w:rsid w:val="001D57DB"/>
    <w:rPr>
      <w:b/>
      <w:bCs/>
      <w:smallCaps/>
      <w:color w:val="2E74B5" w:themeColor="accent1" w:themeShade="BF"/>
      <w:spacing w:val="5"/>
    </w:rPr>
  </w:style>
  <w:style w:type="paragraph" w:customStyle="1" w:styleId="Default">
    <w:name w:val="Default"/>
    <w:rsid w:val="001D57D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3</cp:revision>
  <dcterms:created xsi:type="dcterms:W3CDTF">2025-08-15T20:03:00Z</dcterms:created>
  <dcterms:modified xsi:type="dcterms:W3CDTF">2025-09-17T14:56:00Z</dcterms:modified>
</cp:coreProperties>
</file>